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00B3D690" w14:textId="77777777" w:rsidR="002208A6" w:rsidRDefault="00363F81" w:rsidP="002208A6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1E6609" w:rsidRPr="001E6609">
        <w:rPr>
          <w:rFonts w:asciiTheme="minorHAnsi" w:hAnsiTheme="minorHAnsi" w:cstheme="minorHAnsi"/>
          <w:iCs/>
          <w:sz w:val="24"/>
          <w:szCs w:val="24"/>
        </w:rPr>
        <w:t>0232.5.LOG.D.KM</w:t>
      </w:r>
    </w:p>
    <w:p w14:paraId="1BEB2734" w14:textId="3939FD36" w:rsidR="004838B3" w:rsidRPr="00E77D69" w:rsidRDefault="004838B3" w:rsidP="002208A6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1E6609">
        <w:rPr>
          <w:rFonts w:asciiTheme="minorHAnsi" w:hAnsiTheme="minorHAnsi" w:cstheme="minorHAnsi"/>
          <w:iCs/>
          <w:sz w:val="24"/>
          <w:szCs w:val="24"/>
        </w:rPr>
        <w:t>Komunikacja międzykulturowa</w:t>
      </w:r>
    </w:p>
    <w:p w14:paraId="274BA5FF" w14:textId="5E6EA048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1E6609">
        <w:rPr>
          <w:rFonts w:asciiTheme="minorHAnsi" w:hAnsiTheme="minorHAnsi" w:cstheme="minorHAnsi"/>
          <w:iCs/>
          <w:sz w:val="24"/>
          <w:szCs w:val="24"/>
        </w:rPr>
        <w:t>I</w:t>
      </w:r>
      <w:r w:rsidR="001E6609" w:rsidRPr="001E6609">
        <w:rPr>
          <w:rFonts w:asciiTheme="minorHAnsi" w:hAnsiTheme="minorHAnsi" w:cstheme="minorHAnsi"/>
          <w:iCs/>
          <w:sz w:val="24"/>
          <w:szCs w:val="24"/>
        </w:rPr>
        <w:t>ntercultural</w:t>
      </w:r>
      <w:proofErr w:type="spellEnd"/>
      <w:r w:rsidR="001E6609" w:rsidRPr="001E6609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1E6609" w:rsidRPr="001E6609">
        <w:rPr>
          <w:rFonts w:asciiTheme="minorHAnsi" w:hAnsiTheme="minorHAnsi" w:cstheme="minorHAnsi"/>
          <w:iCs/>
          <w:sz w:val="24"/>
          <w:szCs w:val="24"/>
        </w:rPr>
        <w:t>communication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07B584F" w:rsidR="000746C5" w:rsidRPr="00E77D69" w:rsidRDefault="001E6609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67ACF61C" w:rsidR="000746C5" w:rsidRPr="00E77D69" w:rsidRDefault="001E6609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0B50F16D" w:rsidR="00AB3480" w:rsidRPr="00E77D69" w:rsidRDefault="002208A6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</w:t>
            </w:r>
            <w:r w:rsidR="001E6609">
              <w:rPr>
                <w:rFonts w:asciiTheme="minorHAnsi" w:hAnsiTheme="minorHAnsi" w:cstheme="minorHAnsi"/>
                <w:iCs/>
                <w:sz w:val="21"/>
                <w:szCs w:val="21"/>
              </w:rPr>
              <w:t>ednolite magisterskie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7527925F" w:rsidR="000746C5" w:rsidRPr="00E77D69" w:rsidRDefault="001E6609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  <w:proofErr w:type="spellEnd"/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0140BA11" w:rsidR="000746C5" w:rsidRPr="00E77D69" w:rsidRDefault="001E6609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dr hab. Ewa Boksa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53B6EFB5" w:rsidR="001373A5" w:rsidRPr="00E77D69" w:rsidRDefault="001E6609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ewa.boksa@ujk.edu.pl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A3DEAEA" w:rsidR="000746C5" w:rsidRPr="00E77D69" w:rsidRDefault="00706956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  <w:r w:rsidR="001E6609">
              <w:rPr>
                <w:rFonts w:asciiTheme="minorHAnsi" w:hAnsiTheme="minorHAnsi" w:cstheme="minorHAnsi"/>
                <w:iCs/>
                <w:sz w:val="21"/>
                <w:szCs w:val="21"/>
              </w:rPr>
              <w:t>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40597F5D" w:rsidR="000746C5" w:rsidRPr="00E77D69" w:rsidRDefault="00706956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</w:t>
            </w:r>
            <w:r w:rsidR="001E6609">
              <w:rPr>
                <w:rFonts w:asciiTheme="minorHAnsi" w:hAnsiTheme="minorHAnsi" w:cstheme="minorHAnsi"/>
                <w:iCs/>
                <w:sz w:val="21"/>
                <w:szCs w:val="21"/>
              </w:rPr>
              <w:t>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4841C1D9" w:rsidR="000746C5" w:rsidRPr="00E77D69" w:rsidRDefault="00706956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Ć</w:t>
            </w:r>
            <w:r w:rsidR="003B6F34"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wiczenia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77D80044" w:rsidR="000746C5" w:rsidRPr="00E77D69" w:rsidRDefault="001E6609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pomieszczenia dydaktyczne 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574F734E" w:rsidR="000746C5" w:rsidRPr="00E77D69" w:rsidRDefault="001E6609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Zaliczenie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4CBBBEE7" w:rsidR="00402BCD" w:rsidRPr="00E77D69" w:rsidRDefault="001E6609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podająca, problemowa, praktyczna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1539079" w14:textId="2CC8A58D" w:rsidR="00566B57" w:rsidRPr="00E77D69" w:rsidRDefault="001E6609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1E6609">
              <w:rPr>
                <w:rFonts w:asciiTheme="minorHAnsi" w:hAnsiTheme="minorHAnsi" w:cstheme="minorHAnsi"/>
                <w:iCs/>
                <w:sz w:val="21"/>
                <w:szCs w:val="21"/>
              </w:rPr>
              <w:t>Czaplewska</w:t>
            </w:r>
            <w:proofErr w:type="spellEnd"/>
            <w:r w:rsidRPr="001E660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E. (red.). (2018). Logopedia międzykulturowa. Gdańsk: Wydawnictwo Harmonia </w:t>
            </w:r>
            <w:proofErr w:type="spellStart"/>
            <w:r w:rsidRPr="001E6609">
              <w:rPr>
                <w:rFonts w:asciiTheme="minorHAnsi" w:hAnsiTheme="minorHAnsi" w:cstheme="minorHAnsi"/>
                <w:iCs/>
                <w:sz w:val="21"/>
                <w:szCs w:val="21"/>
              </w:rPr>
              <w:t>Universalis</w:t>
            </w:r>
            <w:proofErr w:type="spellEnd"/>
            <w:r w:rsidRPr="001E6609"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456B6D4" w14:textId="6D6F53DA" w:rsidR="00566B57" w:rsidRPr="00E77D69" w:rsidRDefault="001E6609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1E6609">
              <w:rPr>
                <w:rFonts w:asciiTheme="minorHAnsi" w:hAnsiTheme="minorHAnsi" w:cstheme="minorHAnsi"/>
                <w:iCs/>
                <w:sz w:val="21"/>
                <w:szCs w:val="21"/>
              </w:rPr>
              <w:t>Glondys</w:t>
            </w:r>
            <w:proofErr w:type="spellEnd"/>
            <w:r w:rsidRPr="001E6609">
              <w:rPr>
                <w:rFonts w:asciiTheme="minorHAnsi" w:hAnsiTheme="minorHAnsi" w:cstheme="minorHAnsi"/>
                <w:iCs/>
                <w:sz w:val="21"/>
                <w:szCs w:val="21"/>
              </w:rPr>
              <w:t>, D., &amp; Bednarczyk, M. (2020). Komunikacja międzykulturowa albo lepiej nie wychodź z domu. Kraków: Wydawnictwo Uniwersytetu Jagiellońskiego.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250F2B86" w14:textId="052C090D" w:rsidR="003E0703" w:rsidRPr="00822F60" w:rsidRDefault="003E0703" w:rsidP="001E6609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2E848755" w14:textId="0563F445" w:rsidR="001E6609" w:rsidRPr="00B35D2B" w:rsidRDefault="001E6609" w:rsidP="001E6609">
      <w:pPr>
        <w:pStyle w:val="TableParagraph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C1</w:t>
      </w:r>
      <w:r w:rsidRPr="00B35D2B">
        <w:rPr>
          <w:rFonts w:asciiTheme="minorHAnsi" w:hAnsiTheme="minorHAnsi" w:cstheme="minorHAnsi"/>
          <w:bCs/>
          <w:iCs/>
          <w:sz w:val="24"/>
          <w:szCs w:val="24"/>
        </w:rPr>
        <w:t>. Rozwijanie kompetencji międzykulturowych - kształtowanie umiejętności rozumienia, interpretowania i adekwatnego reagowania na zachowania osób pochodzących z różnych kultur.</w:t>
      </w:r>
    </w:p>
    <w:p w14:paraId="562EC47D" w14:textId="669EA58C" w:rsidR="001E6609" w:rsidRPr="001E6609" w:rsidRDefault="001E6609" w:rsidP="001E6609">
      <w:pPr>
        <w:pStyle w:val="TableParagraph"/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C2. </w:t>
      </w:r>
      <w:r w:rsidRPr="00B35D2B">
        <w:rPr>
          <w:rFonts w:asciiTheme="minorHAnsi" w:hAnsiTheme="minorHAnsi" w:cstheme="minorHAnsi"/>
          <w:bCs/>
          <w:iCs/>
          <w:sz w:val="24"/>
          <w:szCs w:val="24"/>
        </w:rPr>
        <w:t xml:space="preserve">Doskonalenie umiejętności komunikacyjnych w sytuacjach wielokulturowych- poznanie barier i strategii komunikacyjnych, a także sposobów skutecznego porozumiewania się w kontaktach międzynarodowych i </w:t>
      </w:r>
      <w:proofErr w:type="spellStart"/>
      <w:r w:rsidRPr="00B35D2B">
        <w:rPr>
          <w:rFonts w:asciiTheme="minorHAnsi" w:hAnsiTheme="minorHAnsi" w:cstheme="minorHAnsi"/>
          <w:bCs/>
          <w:iCs/>
          <w:sz w:val="24"/>
          <w:szCs w:val="24"/>
        </w:rPr>
        <w:t>międzyetnicznych</w:t>
      </w:r>
      <w:proofErr w:type="spellEnd"/>
      <w:r w:rsidRPr="00B35D2B">
        <w:rPr>
          <w:rFonts w:asciiTheme="minorHAnsi" w:hAnsiTheme="minorHAnsi" w:cstheme="minorHAnsi"/>
          <w:bCs/>
          <w:iCs/>
          <w:sz w:val="24"/>
          <w:szCs w:val="24"/>
        </w:rPr>
        <w:t>.</w:t>
      </w:r>
    </w:p>
    <w:p w14:paraId="36EF1379" w14:textId="6F41EBAF" w:rsidR="001E6609" w:rsidRPr="00B35D2B" w:rsidRDefault="001E6609" w:rsidP="001E6609">
      <w:pPr>
        <w:pStyle w:val="TableParagraph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C3. </w:t>
      </w:r>
      <w:r w:rsidRPr="00B35D2B">
        <w:rPr>
          <w:rFonts w:asciiTheme="minorHAnsi" w:hAnsiTheme="minorHAnsi" w:cstheme="minorHAnsi"/>
          <w:bCs/>
          <w:iCs/>
          <w:sz w:val="24"/>
          <w:szCs w:val="24"/>
        </w:rPr>
        <w:t>Kształtowanie postawy otwartości i wrażliwości kulturowej- rozwijanie świadomości własnych uwarunkowań kulturowych, budowanie empatii, tolerancji oraz umiejętności współpracy w środowisku wielokulturowym.</w:t>
      </w:r>
    </w:p>
    <w:p w14:paraId="4A6DC751" w14:textId="6911C6F3" w:rsidR="00757DCD" w:rsidRPr="00706956" w:rsidRDefault="003E0703" w:rsidP="00706956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3692AA83" w14:textId="77777777" w:rsidR="00757DCD" w:rsidRDefault="00757DCD" w:rsidP="00757DCD">
      <w:pPr>
        <w:pStyle w:val="TableParagraph"/>
        <w:numPr>
          <w:ilvl w:val="0"/>
          <w:numId w:val="37"/>
        </w:numPr>
        <w:spacing w:before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757DCD">
        <w:rPr>
          <w:rFonts w:asciiTheme="minorHAnsi" w:hAnsiTheme="minorHAnsi" w:cstheme="minorHAnsi"/>
          <w:sz w:val="24"/>
          <w:szCs w:val="24"/>
        </w:rPr>
        <w:t>Wprowadzenie do komunikacji międzykulturowej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Pr="00757DCD">
        <w:rPr>
          <w:rFonts w:asciiTheme="minorHAnsi" w:hAnsiTheme="minorHAnsi" w:cstheme="minorHAnsi"/>
          <w:sz w:val="24"/>
          <w:szCs w:val="24"/>
        </w:rPr>
        <w:t>Definicje i zakres komunikacji międzykulturowej.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757DCD">
        <w:rPr>
          <w:rFonts w:asciiTheme="minorHAnsi" w:hAnsiTheme="minorHAnsi" w:cstheme="minorHAnsi"/>
          <w:sz w:val="24"/>
          <w:szCs w:val="24"/>
        </w:rPr>
        <w:t>Pojęcie kultury: elementy, funkcje, modele.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757DCD">
        <w:rPr>
          <w:rFonts w:asciiTheme="minorHAnsi" w:hAnsiTheme="minorHAnsi" w:cstheme="minorHAnsi"/>
          <w:sz w:val="24"/>
          <w:szCs w:val="24"/>
        </w:rPr>
        <w:t>Różnice kulturowe a komunikacja.</w:t>
      </w:r>
    </w:p>
    <w:p w14:paraId="4802A3F3" w14:textId="77777777" w:rsidR="00757DCD" w:rsidRDefault="00757DCD" w:rsidP="00757DCD">
      <w:pPr>
        <w:pStyle w:val="TableParagraph"/>
        <w:numPr>
          <w:ilvl w:val="0"/>
          <w:numId w:val="37"/>
        </w:numPr>
        <w:spacing w:before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757DCD">
        <w:rPr>
          <w:rFonts w:asciiTheme="minorHAnsi" w:hAnsiTheme="minorHAnsi" w:cstheme="minorHAnsi"/>
          <w:sz w:val="24"/>
          <w:szCs w:val="24"/>
        </w:rPr>
        <w:t xml:space="preserve">Modele i teorie komunikacji międzykulturowej. Klasyczne modele komunikacji (np. model </w:t>
      </w:r>
      <w:proofErr w:type="spellStart"/>
      <w:r w:rsidRPr="00757DCD">
        <w:rPr>
          <w:rFonts w:asciiTheme="minorHAnsi" w:hAnsiTheme="minorHAnsi" w:cstheme="minorHAnsi"/>
          <w:sz w:val="24"/>
          <w:szCs w:val="24"/>
        </w:rPr>
        <w:t>Laswella</w:t>
      </w:r>
      <w:proofErr w:type="spellEnd"/>
      <w:r w:rsidRPr="00757DCD">
        <w:rPr>
          <w:rFonts w:asciiTheme="minorHAnsi" w:hAnsiTheme="minorHAnsi" w:cstheme="minorHAnsi"/>
          <w:sz w:val="24"/>
          <w:szCs w:val="24"/>
        </w:rPr>
        <w:t>, Shannon–</w:t>
      </w:r>
      <w:proofErr w:type="spellStart"/>
      <w:r w:rsidRPr="00757DCD">
        <w:rPr>
          <w:rFonts w:asciiTheme="minorHAnsi" w:hAnsiTheme="minorHAnsi" w:cstheme="minorHAnsi"/>
          <w:sz w:val="24"/>
          <w:szCs w:val="24"/>
        </w:rPr>
        <w:t>Weaver</w:t>
      </w:r>
      <w:proofErr w:type="spellEnd"/>
      <w:r w:rsidRPr="00757DCD">
        <w:rPr>
          <w:rFonts w:asciiTheme="minorHAnsi" w:hAnsiTheme="minorHAnsi" w:cstheme="minorHAnsi"/>
          <w:sz w:val="24"/>
          <w:szCs w:val="24"/>
        </w:rPr>
        <w:t xml:space="preserve">).Teorie z obszaru komunikacji międzykulturowej (Hall, </w:t>
      </w:r>
      <w:proofErr w:type="spellStart"/>
      <w:r w:rsidRPr="00757DCD">
        <w:rPr>
          <w:rFonts w:asciiTheme="minorHAnsi" w:hAnsiTheme="minorHAnsi" w:cstheme="minorHAnsi"/>
          <w:sz w:val="24"/>
          <w:szCs w:val="24"/>
        </w:rPr>
        <w:t>Hofstede</w:t>
      </w:r>
      <w:proofErr w:type="spellEnd"/>
      <w:r w:rsidRPr="00757DCD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757DCD">
        <w:rPr>
          <w:rFonts w:asciiTheme="minorHAnsi" w:hAnsiTheme="minorHAnsi" w:cstheme="minorHAnsi"/>
          <w:sz w:val="24"/>
          <w:szCs w:val="24"/>
        </w:rPr>
        <w:t>Trompenaars</w:t>
      </w:r>
      <w:proofErr w:type="spellEnd"/>
      <w:r w:rsidRPr="00757DCD">
        <w:rPr>
          <w:rFonts w:asciiTheme="minorHAnsi" w:hAnsiTheme="minorHAnsi" w:cstheme="minorHAnsi"/>
          <w:sz w:val="24"/>
          <w:szCs w:val="24"/>
        </w:rPr>
        <w:t xml:space="preserve">, </w:t>
      </w:r>
      <w:r w:rsidRPr="00757DCD">
        <w:rPr>
          <w:rFonts w:asciiTheme="minorHAnsi" w:hAnsiTheme="minorHAnsi" w:cstheme="minorHAnsi"/>
          <w:sz w:val="24"/>
          <w:szCs w:val="24"/>
        </w:rPr>
        <w:lastRenderedPageBreak/>
        <w:t>GLOBE).Style komunikacji wysokiego i niskiego kontekstu.</w:t>
      </w:r>
    </w:p>
    <w:p w14:paraId="4004DF2D" w14:textId="30D39A7E" w:rsidR="00757DCD" w:rsidRDefault="00757DCD" w:rsidP="00757DCD">
      <w:pPr>
        <w:pStyle w:val="TableParagraph"/>
        <w:numPr>
          <w:ilvl w:val="0"/>
          <w:numId w:val="37"/>
        </w:numPr>
        <w:spacing w:before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757DCD">
        <w:rPr>
          <w:rFonts w:asciiTheme="minorHAnsi" w:hAnsiTheme="minorHAnsi" w:cstheme="minorHAnsi"/>
          <w:sz w:val="24"/>
          <w:szCs w:val="24"/>
        </w:rPr>
        <w:t>Komponenty kulturowe wpływające na komunikację. Postrzeganie czasu (</w:t>
      </w:r>
      <w:proofErr w:type="spellStart"/>
      <w:r w:rsidRPr="00757DCD">
        <w:rPr>
          <w:rFonts w:asciiTheme="minorHAnsi" w:hAnsiTheme="minorHAnsi" w:cstheme="minorHAnsi"/>
          <w:sz w:val="24"/>
          <w:szCs w:val="24"/>
        </w:rPr>
        <w:t>monochroniczność</w:t>
      </w:r>
      <w:proofErr w:type="spellEnd"/>
      <w:r w:rsidRPr="00757DCD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br/>
      </w:r>
      <w:r w:rsidRPr="00757DCD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757DCD">
        <w:rPr>
          <w:rFonts w:asciiTheme="minorHAnsi" w:hAnsiTheme="minorHAnsi" w:cstheme="minorHAnsi"/>
          <w:sz w:val="24"/>
          <w:szCs w:val="24"/>
        </w:rPr>
        <w:t>polichroniczność</w:t>
      </w:r>
      <w:proofErr w:type="spellEnd"/>
      <w:r w:rsidRPr="00757DCD">
        <w:rPr>
          <w:rFonts w:asciiTheme="minorHAnsi" w:hAnsiTheme="minorHAnsi" w:cstheme="minorHAnsi"/>
          <w:sz w:val="24"/>
          <w:szCs w:val="24"/>
        </w:rPr>
        <w:t>).</w:t>
      </w:r>
      <w:proofErr w:type="spellStart"/>
      <w:r w:rsidRPr="00757DCD">
        <w:rPr>
          <w:rFonts w:asciiTheme="minorHAnsi" w:hAnsiTheme="minorHAnsi" w:cstheme="minorHAnsi"/>
          <w:sz w:val="24"/>
          <w:szCs w:val="24"/>
        </w:rPr>
        <w:t>Proksemika</w:t>
      </w:r>
      <w:proofErr w:type="spellEnd"/>
      <w:r w:rsidRPr="00757DCD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757DCD">
        <w:rPr>
          <w:rFonts w:asciiTheme="minorHAnsi" w:hAnsiTheme="minorHAnsi" w:cstheme="minorHAnsi"/>
          <w:sz w:val="24"/>
          <w:szCs w:val="24"/>
        </w:rPr>
        <w:t>kinezyka</w:t>
      </w:r>
      <w:proofErr w:type="spellEnd"/>
      <w:r w:rsidRPr="00757DCD">
        <w:rPr>
          <w:rFonts w:asciiTheme="minorHAnsi" w:hAnsiTheme="minorHAnsi" w:cstheme="minorHAnsi"/>
          <w:sz w:val="24"/>
          <w:szCs w:val="24"/>
        </w:rPr>
        <w:t>, komunikacja niewerbalna w różnych kulturach. Język, akcent i odmiany językowe w kontekście międzykulturowym.</w:t>
      </w:r>
    </w:p>
    <w:p w14:paraId="07746F30" w14:textId="77777777" w:rsidR="00757DCD" w:rsidRDefault="00757DCD" w:rsidP="00757DCD">
      <w:pPr>
        <w:pStyle w:val="TableParagraph"/>
        <w:numPr>
          <w:ilvl w:val="0"/>
          <w:numId w:val="37"/>
        </w:numPr>
        <w:spacing w:before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757DCD">
        <w:rPr>
          <w:rFonts w:asciiTheme="minorHAnsi" w:hAnsiTheme="minorHAnsi" w:cstheme="minorHAnsi"/>
          <w:sz w:val="24"/>
          <w:szCs w:val="24"/>
        </w:rPr>
        <w:t>Bariery i zakłócenia w komunikacji międzykulturowej. Etnocentryzm, stereotypy, uprzedzenia. Różnice semantyczne i pragmatyczne. Błędy interpretacyjne wynikające z odmiennych kodów kulturowych.</w:t>
      </w:r>
    </w:p>
    <w:p w14:paraId="3303A41F" w14:textId="77777777" w:rsidR="00757DCD" w:rsidRDefault="00757DCD" w:rsidP="00757DCD">
      <w:pPr>
        <w:pStyle w:val="TableParagraph"/>
        <w:numPr>
          <w:ilvl w:val="0"/>
          <w:numId w:val="37"/>
        </w:numPr>
        <w:spacing w:before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757DCD">
        <w:rPr>
          <w:rFonts w:asciiTheme="minorHAnsi" w:hAnsiTheme="minorHAnsi" w:cstheme="minorHAnsi"/>
          <w:sz w:val="24"/>
          <w:szCs w:val="24"/>
        </w:rPr>
        <w:t>Kompetencje międzykulturowe. Składniki kompetencji międzykulturowych (wiedza, umiejętności, postawy). Asertywność, empatia i inteligencja kulturowa (CQ). Samoświadomość kulturowa.</w:t>
      </w:r>
    </w:p>
    <w:p w14:paraId="4947A785" w14:textId="77777777" w:rsidR="00757DCD" w:rsidRDefault="00757DCD" w:rsidP="00757DCD">
      <w:pPr>
        <w:pStyle w:val="TableParagraph"/>
        <w:numPr>
          <w:ilvl w:val="0"/>
          <w:numId w:val="37"/>
        </w:numPr>
        <w:spacing w:before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757DCD">
        <w:rPr>
          <w:rFonts w:asciiTheme="minorHAnsi" w:hAnsiTheme="minorHAnsi" w:cstheme="minorHAnsi"/>
          <w:sz w:val="24"/>
          <w:szCs w:val="24"/>
        </w:rPr>
        <w:t>Komunikacja w środowisku wielokulturowym. Komunikacja w zespołach międzynarodowych. Rola mediacji i negocjacji międzykulturowych. Zarządzanie konfliktami międzykulturowymi.</w:t>
      </w:r>
    </w:p>
    <w:p w14:paraId="6D27F44A" w14:textId="77777777" w:rsidR="00757DCD" w:rsidRDefault="00757DCD" w:rsidP="00757DCD">
      <w:pPr>
        <w:pStyle w:val="TableParagraph"/>
        <w:numPr>
          <w:ilvl w:val="0"/>
          <w:numId w:val="37"/>
        </w:numPr>
        <w:spacing w:before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757DCD">
        <w:rPr>
          <w:rFonts w:asciiTheme="minorHAnsi" w:hAnsiTheme="minorHAnsi" w:cstheme="minorHAnsi"/>
          <w:sz w:val="24"/>
          <w:szCs w:val="24"/>
        </w:rPr>
        <w:t>Zastosowania praktyczne komunikacji międzykulturowej. Praca w środowisku globalnym i migracyjnym. Edukacja międzykulturowa. Komunikacja międzykulturowa w biznesie, służbie zdrowia, mediach, administracji publicznej.</w:t>
      </w:r>
    </w:p>
    <w:p w14:paraId="7EDA2348" w14:textId="0E51A4B2" w:rsidR="00757DCD" w:rsidRPr="00757DCD" w:rsidRDefault="00757DCD" w:rsidP="00757DCD">
      <w:pPr>
        <w:pStyle w:val="TableParagraph"/>
        <w:numPr>
          <w:ilvl w:val="0"/>
          <w:numId w:val="37"/>
        </w:numPr>
        <w:spacing w:before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757DCD">
        <w:rPr>
          <w:rFonts w:asciiTheme="minorHAnsi" w:hAnsiTheme="minorHAnsi" w:cstheme="minorHAnsi"/>
          <w:sz w:val="24"/>
          <w:szCs w:val="24"/>
        </w:rPr>
        <w:t>Studium przypadków i analiza sytuacji. Analiza autentycznych sytuacji (</w:t>
      </w:r>
      <w:proofErr w:type="spellStart"/>
      <w:r w:rsidRPr="00757DCD">
        <w:rPr>
          <w:rFonts w:asciiTheme="minorHAnsi" w:hAnsiTheme="minorHAnsi" w:cstheme="minorHAnsi"/>
          <w:sz w:val="24"/>
          <w:szCs w:val="24"/>
        </w:rPr>
        <w:t>case</w:t>
      </w:r>
      <w:proofErr w:type="spellEnd"/>
      <w:r w:rsidRPr="00757DC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57DCD">
        <w:rPr>
          <w:rFonts w:asciiTheme="minorHAnsi" w:hAnsiTheme="minorHAnsi" w:cstheme="minorHAnsi"/>
          <w:sz w:val="24"/>
          <w:szCs w:val="24"/>
        </w:rPr>
        <w:t>studies</w:t>
      </w:r>
      <w:proofErr w:type="spellEnd"/>
      <w:r w:rsidRPr="00757DCD">
        <w:rPr>
          <w:rFonts w:asciiTheme="minorHAnsi" w:hAnsiTheme="minorHAnsi" w:cstheme="minorHAnsi"/>
          <w:sz w:val="24"/>
          <w:szCs w:val="24"/>
        </w:rPr>
        <w:t>). Symulacje, odgrywanie ról, ćwiczenia warsztatowe. Ocena i refleksja nad własnym stylem komunikacji.</w:t>
      </w:r>
    </w:p>
    <w:p w14:paraId="6EAC71AB" w14:textId="59DAD650" w:rsidR="006D764F" w:rsidRPr="00757DCD" w:rsidRDefault="006D764F" w:rsidP="00757DC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E77D69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1C78EBB3" w:rsidR="006E60C3" w:rsidRPr="00E77D69" w:rsidRDefault="00757DCD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Zna </w:t>
            </w:r>
            <w:r w:rsidRPr="00757DCD">
              <w:rPr>
                <w:rFonts w:asciiTheme="minorHAnsi" w:hAnsiTheme="minorHAnsi" w:cstheme="minorHAnsi"/>
                <w:iCs/>
                <w:sz w:val="21"/>
                <w:szCs w:val="21"/>
              </w:rPr>
              <w:t>zależności między językiem a środowiskiem społecznym, w tym różnice wynikające z wielojęzyczności i różnorodności kulturowej</w:t>
            </w:r>
          </w:p>
        </w:tc>
        <w:tc>
          <w:tcPr>
            <w:tcW w:w="1773" w:type="dxa"/>
          </w:tcPr>
          <w:p w14:paraId="1881EAEC" w14:textId="3DFF54F8" w:rsidR="006E60C3" w:rsidRPr="00E77D69" w:rsidRDefault="00757DC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LOGA_W08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2F7D262F" w:rsidR="00A713B4" w:rsidRPr="00E77D69" w:rsidRDefault="0072238B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Potrafi </w:t>
            </w:r>
            <w:r w:rsidRPr="0072238B">
              <w:rPr>
                <w:rFonts w:asciiTheme="minorHAnsi" w:hAnsiTheme="minorHAnsi" w:cstheme="minorHAnsi"/>
                <w:iCs/>
                <w:sz w:val="21"/>
                <w:szCs w:val="21"/>
              </w:rPr>
              <w:t>rozpoznać problemy językowe uwarunkowane bilingwizmem (wielojęzycznością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i wielokulturowością.</w:t>
            </w:r>
          </w:p>
        </w:tc>
        <w:tc>
          <w:tcPr>
            <w:tcW w:w="1773" w:type="dxa"/>
          </w:tcPr>
          <w:p w14:paraId="69BAD1D6" w14:textId="35726048" w:rsidR="00A713B4" w:rsidRPr="00E77D69" w:rsidRDefault="0072238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LOGA_U13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4C84134B" w:rsidR="00A713B4" w:rsidRPr="00E77D69" w:rsidRDefault="0072238B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Jest gotów do </w:t>
            </w:r>
            <w:r w:rsidRPr="0072238B">
              <w:rPr>
                <w:rFonts w:asciiTheme="minorHAnsi" w:hAnsiTheme="minorHAnsi" w:cstheme="minorHAnsi"/>
                <w:iCs/>
                <w:sz w:val="21"/>
                <w:szCs w:val="21"/>
              </w:rPr>
              <w:t>okazywania empatii dzieciom, uczniom, innym osobom potrzebującym wsparcia i pomocy oraz przestrzegania zasad etyki zawodowej i działania na rzecz podtrzymywania etosu zawodowego, odpowiedzialnego pełnienie ról zawodowych.</w:t>
            </w:r>
          </w:p>
        </w:tc>
        <w:tc>
          <w:tcPr>
            <w:tcW w:w="1773" w:type="dxa"/>
          </w:tcPr>
          <w:p w14:paraId="3E07749A" w14:textId="194D1D2E" w:rsidR="00A713B4" w:rsidRPr="00E77D69" w:rsidRDefault="0072238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LOGA_K03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148D7595" w14:textId="77777777" w:rsidR="00896B47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</w:t>
            </w:r>
          </w:p>
          <w:p w14:paraId="4DCFD81E" w14:textId="30B0EC42" w:rsidR="00CF48D1" w:rsidRPr="00E77D69" w:rsidRDefault="00896B47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Zadanie projektowe</w:t>
            </w:r>
            <w:r w:rsidR="00CF48D1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57FD6E4A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...W01</w:t>
            </w:r>
          </w:p>
        </w:tc>
        <w:tc>
          <w:tcPr>
            <w:tcW w:w="408" w:type="dxa"/>
          </w:tcPr>
          <w:p w14:paraId="4C6EC9F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31263A33" w:rsidR="00F05892" w:rsidRPr="00E77D69" w:rsidRDefault="00D2166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4480A3CC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...U01</w:t>
            </w:r>
          </w:p>
        </w:tc>
        <w:tc>
          <w:tcPr>
            <w:tcW w:w="408" w:type="dxa"/>
          </w:tcPr>
          <w:p w14:paraId="0736369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22938012" w:rsidR="00F05892" w:rsidRPr="00E77D69" w:rsidRDefault="00D2166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F05644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...K01</w:t>
            </w:r>
          </w:p>
        </w:tc>
        <w:tc>
          <w:tcPr>
            <w:tcW w:w="408" w:type="dxa"/>
          </w:tcPr>
          <w:p w14:paraId="2E7705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0FA503F4" w:rsidR="00F05892" w:rsidRPr="00E77D69" w:rsidRDefault="00D2166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25650CBC" w:rsidR="00906C25" w:rsidRPr="00706956" w:rsidRDefault="00B20F2C" w:rsidP="00706956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23590B05" w14:textId="44CA88C0" w:rsidR="009109EC" w:rsidRPr="00D21667" w:rsidRDefault="00906C25" w:rsidP="00D21667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</w:t>
      </w:r>
      <w:r w:rsidR="00D21667">
        <w:rPr>
          <w:rFonts w:asciiTheme="minorHAnsi" w:hAnsiTheme="minorHAnsi" w:cstheme="minorHAnsi"/>
          <w:b/>
          <w:iCs/>
          <w:sz w:val="24"/>
          <w:szCs w:val="24"/>
        </w:rPr>
        <w:t>ę</w:t>
      </w:r>
    </w:p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501522F3" w:rsidR="00913ECD" w:rsidRPr="00B35D2B" w:rsidRDefault="00D21667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B35D2B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51 -60 % pkt. z zadań stawianych studentowi w zakresie </w:t>
            </w:r>
            <w:r w:rsidR="00BA52C4" w:rsidRPr="00B35D2B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zadania </w:t>
            </w:r>
            <w:r w:rsidRPr="00B35D2B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projek</w:t>
            </w:r>
            <w:r w:rsidR="00BA52C4" w:rsidRPr="00B35D2B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towego</w:t>
            </w:r>
          </w:p>
        </w:tc>
      </w:tr>
      <w:tr w:rsidR="00E77D69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202532C2" w:rsidR="00913ECD" w:rsidRPr="00B35D2B" w:rsidRDefault="00D21667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B35D2B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61 -70 % pkt. z zadań stawianych studentowi w zakresie </w:t>
            </w:r>
            <w:r w:rsidR="00BA52C4" w:rsidRPr="00B35D2B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zadania projektowego</w:t>
            </w:r>
          </w:p>
        </w:tc>
      </w:tr>
      <w:tr w:rsidR="00E77D69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5A962EDE" w:rsidR="00913ECD" w:rsidRPr="00B35D2B" w:rsidRDefault="00D21667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B35D2B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71 -80 % pkt. z zadań stawianych studentowi w zakresie </w:t>
            </w:r>
            <w:r w:rsidR="00BA52C4" w:rsidRPr="00B35D2B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zadania projektowego</w:t>
            </w:r>
          </w:p>
        </w:tc>
      </w:tr>
      <w:tr w:rsidR="00E77D69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4405BB06" w:rsidR="00913ECD" w:rsidRPr="00B35D2B" w:rsidRDefault="00D21667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B35D2B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81 -90 % pkt. z zadań stawianych studentowi w zakresie </w:t>
            </w:r>
            <w:r w:rsidR="00BA52C4" w:rsidRPr="00B35D2B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zadania projektowego</w:t>
            </w:r>
          </w:p>
        </w:tc>
      </w:tr>
      <w:tr w:rsidR="00E77D69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001F69B9" w:rsidR="00913ECD" w:rsidRPr="00B35D2B" w:rsidRDefault="00D21667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B35D2B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91 -100 % pkt. z zadań stawianych studentowi w zakresie </w:t>
            </w:r>
            <w:r w:rsidR="00BA52C4" w:rsidRPr="00B35D2B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 zadania projektowego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822F60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22F60" w:rsidRPr="00E77D69" w:rsidRDefault="00822F60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22F60" w:rsidRPr="00E77D69" w:rsidRDefault="00822F60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822F60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22F60" w:rsidRPr="00E77D69" w:rsidRDefault="00822F60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9385BF7" w:rsidR="00822F60" w:rsidRPr="00E77D69" w:rsidRDefault="00822F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822F60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0BE39557" w:rsidR="00822F60" w:rsidRPr="00E77D69" w:rsidRDefault="00822F60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27886632" w:rsidR="00822F60" w:rsidRPr="00E77D69" w:rsidRDefault="00822F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30</w:t>
            </w:r>
          </w:p>
        </w:tc>
      </w:tr>
      <w:tr w:rsidR="00822F60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22F60" w:rsidRPr="00E77D69" w:rsidRDefault="00822F60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5F3D5D11" w:rsidR="00822F60" w:rsidRPr="00E77D69" w:rsidRDefault="00822F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822F60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AFB8E0F" w:rsidR="00822F60" w:rsidRPr="00E77D69" w:rsidRDefault="00822F60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53D4A8EB" w:rsidR="00822F60" w:rsidRPr="00E77D69" w:rsidRDefault="00822F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822F60" w:rsidRPr="00E77D69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0FC802A5" w:rsidR="00822F60" w:rsidRPr="00E77D69" w:rsidRDefault="00822F60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Zebranie materiałów do projektu</w:t>
            </w:r>
          </w:p>
        </w:tc>
        <w:tc>
          <w:tcPr>
            <w:tcW w:w="2172" w:type="dxa"/>
            <w:vAlign w:val="center"/>
          </w:tcPr>
          <w:p w14:paraId="617C710B" w14:textId="47FCDF32" w:rsidR="00822F60" w:rsidRPr="00E77D69" w:rsidRDefault="00822F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822F60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22F60" w:rsidRPr="00E77D69" w:rsidRDefault="00822F60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0C30B83D" w:rsidR="00822F60" w:rsidRPr="00E77D69" w:rsidRDefault="00822F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822F60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22F60" w:rsidRPr="00E77D69" w:rsidRDefault="00822F60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418BA33" w:rsidR="00822F60" w:rsidRPr="00E77D69" w:rsidRDefault="00822F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0EF3C84C" w14:textId="74EB4287" w:rsidR="00896E3C" w:rsidRPr="00E77D69" w:rsidRDefault="00896E3C" w:rsidP="00B35D2B">
      <w:pPr>
        <w:spacing w:before="480" w:after="360" w:line="276" w:lineRule="auto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6683F49"/>
    <w:multiLevelType w:val="hybridMultilevel"/>
    <w:tmpl w:val="B68472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304118611">
    <w:abstractNumId w:val="33"/>
  </w:num>
  <w:num w:numId="2" w16cid:durableId="139619713">
    <w:abstractNumId w:val="4"/>
  </w:num>
  <w:num w:numId="3" w16cid:durableId="595985221">
    <w:abstractNumId w:val="17"/>
  </w:num>
  <w:num w:numId="4" w16cid:durableId="1679961583">
    <w:abstractNumId w:val="34"/>
  </w:num>
  <w:num w:numId="5" w16cid:durableId="2026783569">
    <w:abstractNumId w:val="2"/>
  </w:num>
  <w:num w:numId="6" w16cid:durableId="698966667">
    <w:abstractNumId w:val="32"/>
  </w:num>
  <w:num w:numId="7" w16cid:durableId="391926608">
    <w:abstractNumId w:val="9"/>
  </w:num>
  <w:num w:numId="8" w16cid:durableId="1603414410">
    <w:abstractNumId w:val="16"/>
  </w:num>
  <w:num w:numId="9" w16cid:durableId="1838878750">
    <w:abstractNumId w:val="6"/>
  </w:num>
  <w:num w:numId="10" w16cid:durableId="515467478">
    <w:abstractNumId w:val="24"/>
  </w:num>
  <w:num w:numId="11" w16cid:durableId="1497379606">
    <w:abstractNumId w:val="25"/>
  </w:num>
  <w:num w:numId="12" w16cid:durableId="1515344530">
    <w:abstractNumId w:val="31"/>
  </w:num>
  <w:num w:numId="13" w16cid:durableId="731394670">
    <w:abstractNumId w:val="11"/>
  </w:num>
  <w:num w:numId="14" w16cid:durableId="510291576">
    <w:abstractNumId w:val="28"/>
  </w:num>
  <w:num w:numId="15" w16cid:durableId="44573445">
    <w:abstractNumId w:val="30"/>
  </w:num>
  <w:num w:numId="16" w16cid:durableId="292106155">
    <w:abstractNumId w:val="29"/>
  </w:num>
  <w:num w:numId="17" w16cid:durableId="1815638396">
    <w:abstractNumId w:val="19"/>
  </w:num>
  <w:num w:numId="18" w16cid:durableId="1007096449">
    <w:abstractNumId w:val="8"/>
  </w:num>
  <w:num w:numId="19" w16cid:durableId="537085585">
    <w:abstractNumId w:val="12"/>
  </w:num>
  <w:num w:numId="20" w16cid:durableId="59713272">
    <w:abstractNumId w:val="1"/>
  </w:num>
  <w:num w:numId="21" w16cid:durableId="1185748859">
    <w:abstractNumId w:val="21"/>
  </w:num>
  <w:num w:numId="22" w16cid:durableId="741633869">
    <w:abstractNumId w:val="23"/>
  </w:num>
  <w:num w:numId="23" w16cid:durableId="586039846">
    <w:abstractNumId w:val="0"/>
  </w:num>
  <w:num w:numId="24" w16cid:durableId="1459567360">
    <w:abstractNumId w:val="35"/>
  </w:num>
  <w:num w:numId="25" w16cid:durableId="97413845">
    <w:abstractNumId w:val="10"/>
  </w:num>
  <w:num w:numId="26" w16cid:durableId="178348889">
    <w:abstractNumId w:val="18"/>
  </w:num>
  <w:num w:numId="27" w16cid:durableId="275142039">
    <w:abstractNumId w:val="36"/>
  </w:num>
  <w:num w:numId="28" w16cid:durableId="1818258574">
    <w:abstractNumId w:val="13"/>
  </w:num>
  <w:num w:numId="29" w16cid:durableId="785855028">
    <w:abstractNumId w:val="27"/>
  </w:num>
  <w:num w:numId="30" w16cid:durableId="1216818286">
    <w:abstractNumId w:val="5"/>
  </w:num>
  <w:num w:numId="31" w16cid:durableId="793598668">
    <w:abstractNumId w:val="15"/>
  </w:num>
  <w:num w:numId="32" w16cid:durableId="1584487603">
    <w:abstractNumId w:val="22"/>
  </w:num>
  <w:num w:numId="33" w16cid:durableId="175773214">
    <w:abstractNumId w:val="3"/>
  </w:num>
  <w:num w:numId="34" w16cid:durableId="436408283">
    <w:abstractNumId w:val="14"/>
  </w:num>
  <w:num w:numId="35" w16cid:durableId="342318226">
    <w:abstractNumId w:val="7"/>
  </w:num>
  <w:num w:numId="36" w16cid:durableId="799153439">
    <w:abstractNumId w:val="26"/>
  </w:num>
  <w:num w:numId="37" w16cid:durableId="14825096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40C7C"/>
    <w:rsid w:val="00053608"/>
    <w:rsid w:val="000657F2"/>
    <w:rsid w:val="000706A4"/>
    <w:rsid w:val="000746C5"/>
    <w:rsid w:val="000800D0"/>
    <w:rsid w:val="000D4346"/>
    <w:rsid w:val="000E59D6"/>
    <w:rsid w:val="000F5265"/>
    <w:rsid w:val="00104F8D"/>
    <w:rsid w:val="001106DC"/>
    <w:rsid w:val="001373A5"/>
    <w:rsid w:val="00145EC7"/>
    <w:rsid w:val="001D18A7"/>
    <w:rsid w:val="001D511D"/>
    <w:rsid w:val="001E0ADE"/>
    <w:rsid w:val="001E6609"/>
    <w:rsid w:val="001E7B5A"/>
    <w:rsid w:val="002208A6"/>
    <w:rsid w:val="002401BA"/>
    <w:rsid w:val="0027397F"/>
    <w:rsid w:val="002F1835"/>
    <w:rsid w:val="0034602B"/>
    <w:rsid w:val="003466CD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5800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06956"/>
    <w:rsid w:val="0072238B"/>
    <w:rsid w:val="00725F8A"/>
    <w:rsid w:val="00757DCD"/>
    <w:rsid w:val="00775AF1"/>
    <w:rsid w:val="007B605E"/>
    <w:rsid w:val="007C3DBD"/>
    <w:rsid w:val="00822F60"/>
    <w:rsid w:val="00834C51"/>
    <w:rsid w:val="00862E0A"/>
    <w:rsid w:val="00896B47"/>
    <w:rsid w:val="00896E3C"/>
    <w:rsid w:val="008B336A"/>
    <w:rsid w:val="008D676B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20F2C"/>
    <w:rsid w:val="00B35D2B"/>
    <w:rsid w:val="00B36858"/>
    <w:rsid w:val="00B54F67"/>
    <w:rsid w:val="00B64890"/>
    <w:rsid w:val="00B6660E"/>
    <w:rsid w:val="00B72C78"/>
    <w:rsid w:val="00B877F7"/>
    <w:rsid w:val="00BA52C4"/>
    <w:rsid w:val="00BB0629"/>
    <w:rsid w:val="00BB4875"/>
    <w:rsid w:val="00BE67AE"/>
    <w:rsid w:val="00C1154E"/>
    <w:rsid w:val="00C14046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21667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719</Words>
  <Characters>5145</Characters>
  <Application>Microsoft Office Word</Application>
  <DocSecurity>0</DocSecurity>
  <Lines>257</Lines>
  <Paragraphs>158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8</cp:revision>
  <cp:lastPrinted>2025-09-12T11:22:00Z</cp:lastPrinted>
  <dcterms:created xsi:type="dcterms:W3CDTF">2025-11-17T10:18:00Z</dcterms:created>
  <dcterms:modified xsi:type="dcterms:W3CDTF">2026-01-11T11:03:00Z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